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08C9E"/>
          <w:sz w:val="18"/>
        </w:rPr>
        <w:t>RENEWAL REPORT &amp; INSURANCE MANUAL WRITER</w:t>
      </w:r>
    </w:p>
    <w:p>
      <w:r>
        <w:rPr>
          <w:b/>
          <w:color w:val="0C1A2E"/>
          <w:sz w:val="44"/>
        </w:rPr>
        <w:t>Key Points Brochure</w:t>
      </w:r>
    </w:p>
    <w:p>
      <w:r>
        <w:rPr>
          <w:i/>
          <w:color w:val="475569"/>
          <w:sz w:val="24"/>
        </w:rPr>
        <w:t>Spend your time advising clients — not re-typing schedules.</w:t>
      </w:r>
    </w:p>
    <w:p>
      <w:r>
        <w:rPr>
          <w:i w:val="0"/>
          <w:color w:val="333333"/>
          <w:sz w:val="20"/>
        </w:rPr>
        <w:t>An AI-assisted tool for insurance brokers and authorised representatives, delivered as a Claude Desktop plug-in.</w:t>
      </w:r>
    </w:p>
    <w:p>
      <w:pPr>
        <w:spacing w:before="80" w:after="80"/>
      </w:pPr>
      <w:r>
        <w:rPr>
          <w:color w:val="CCCCCC"/>
          <w:sz w:val="16"/>
        </w:rPr>
        <w:t>————————————————————————————————————————</w:t>
      </w:r>
    </w:p>
    <w:p>
      <w:r>
        <w:rPr>
          <w:b/>
          <w:color w:val="0C1A2E"/>
          <w:sz w:val="28"/>
        </w:rPr>
        <w:t>The compliance problem it helps you address</w:t>
      </w:r>
    </w:p>
    <w:p>
      <w:r>
        <w:rPr>
          <w:b/>
          <w:color w:val="0C1A2E"/>
          <w:sz w:val="32"/>
        </w:rPr>
        <w:t xml:space="preserve">~50%  </w:t>
      </w:r>
      <w:r>
        <w:rPr>
          <w:color w:val="64748B"/>
          <w:sz w:val="20"/>
        </w:rPr>
        <w:t>of all Code breaches reported across the sector are renewal-timeframe breaches — three years running, and up roughly 10% year-on-year.</w:t>
      </w:r>
    </w:p>
    <w:p>
      <w:r>
        <w:rPr>
          <w:b/>
          <w:color w:val="0C1A2E"/>
          <w:sz w:val="32"/>
        </w:rPr>
        <w:t xml:space="preserve">2,077  </w:t>
      </w:r>
      <w:r>
        <w:rPr>
          <w:color w:val="64748B"/>
          <w:sz w:val="20"/>
        </w:rPr>
        <w:t>breaches of section 7.2(a) — engaging the client at least 14 days before expiry.</w:t>
      </w:r>
    </w:p>
    <w:p>
      <w:r>
        <w:rPr>
          <w:b/>
          <w:color w:val="0C1A2E"/>
          <w:sz w:val="32"/>
        </w:rPr>
        <w:t xml:space="preserve">38%  </w:t>
      </w:r>
      <w:r>
        <w:rPr>
          <w:color w:val="64748B"/>
          <w:sz w:val="20"/>
        </w:rPr>
        <w:t>of all reported breaches came from that single commitment — the most-breached in the whole Code.</w:t>
      </w:r>
    </w:p>
    <w:p>
      <w:r>
        <w:rPr>
          <w:i w:val="0"/>
          <w:color w:val="333333"/>
          <w:sz w:val="21"/>
        </w:rPr>
        <w:t>The Insurance Brokers Code Compliance Committee's 2025 Annual Data Report names the causes: renewal processes not followed, manual error, system limitations, and resourcing pressure at peak periods. Every one of those is a process problem, not a knowledge problem — which is what makes it addressable. The same data shows breaches concentrated around failures to clearly communicate exclusions and changes to cover, reinforcing that a client-ready, plain-English document at every renewal is now a compliance control, not a nicety.</w:t>
      </w:r>
    </w:p>
    <w:p>
      <w:r>
        <w:rPr>
          <w:b/>
          <w:color w:val="0C1A2E"/>
          <w:sz w:val="28"/>
        </w:rPr>
        <w:t>Lead feature — never miss a renewal date</w:t>
      </w:r>
    </w:p>
    <w:p>
      <w:r>
        <w:rPr>
          <w:i w:val="0"/>
          <w:color w:val="333333"/>
          <w:sz w:val="21"/>
        </w:rPr>
        <w:t>Every build sets a review date at least three months ahead of each renewal, with calendar follow-ups scheduled well clear of the mandatory 14-day pre-renewal contact window — so the single most-breached commitment in the Code is never the thing that gets missed.</w:t>
      </w:r>
    </w:p>
    <w:p>
      <w:r>
        <w:rPr>
          <w:b/>
          <w:color w:val="0C1A2E"/>
          <w:sz w:val="28"/>
        </w:rPr>
        <w:t>How it works — insurer documents in, client-ready report out</w:t>
      </w:r>
    </w:p>
    <w:p>
      <w:pPr>
        <w:pStyle w:val="ListBullet"/>
      </w:pPr>
      <w:r>
        <w:rPr>
          <w:sz w:val="21"/>
        </w:rPr>
        <w:t>Intake gate — every source document classified by class, type and period; scanned schedules OCR'd; insurer documents take precedence over last year's manual.</w:t>
      </w:r>
    </w:p>
    <w:p>
      <w:pPr>
        <w:pStyle w:val="ListBullet"/>
      </w:pPr>
      <w:r>
        <w:rPr>
          <w:sz w:val="21"/>
        </w:rPr>
        <w:t>Extract — insurer, policy number, period, limits, sub-limits, excesses and premiums pulled into a structured record, each figure carrying its source.</w:t>
      </w:r>
    </w:p>
    <w:p>
      <w:pPr>
        <w:pStyle w:val="ListBullet"/>
      </w:pPr>
      <w:r>
        <w:rPr>
          <w:sz w:val="21"/>
        </w:rPr>
        <w:t>Reconcile — diffed against the prior period; every change recorded as “(prior X — replaced)”; movements and status badges computed.</w:t>
      </w:r>
    </w:p>
    <w:p>
      <w:pPr>
        <w:pStyle w:val="ListBullet"/>
      </w:pPr>
      <w:r>
        <w:rPr>
          <w:sz w:val="21"/>
        </w:rPr>
        <w:t>Generate — program summary, plain-English dictionaries, uninsured risks, interested-parties register, pre-renewal schedule; red flags surface only when triggered.</w:t>
      </w:r>
    </w:p>
    <w:p>
      <w:pPr>
        <w:pStyle w:val="ListBullet"/>
      </w:pPr>
      <w:r>
        <w:rPr>
          <w:sz w:val="21"/>
        </w:rPr>
        <w:t>Render &amp; gate — Word master and PDF delivery copy; a blocking preflight check stands between the draft and delivery.</w:t>
      </w:r>
    </w:p>
    <w:p>
      <w:r>
        <w:rPr>
          <w:b/>
          <w:color w:val="0C1A2E"/>
          <w:sz w:val="28"/>
        </w:rPr>
        <w:t>What the client receives</w:t>
      </w:r>
    </w:p>
    <w:p>
      <w:pPr>
        <w:pStyle w:val="ListBullet"/>
      </w:pPr>
      <w:r>
        <w:rPr>
          <w:sz w:val="21"/>
        </w:rPr>
        <w:t>Insurance Program Summary — every class on one page: limits, excess, current and prior premium, status badge, totals.</w:t>
      </w:r>
    </w:p>
    <w:p>
      <w:pPr>
        <w:pStyle w:val="ListBullet"/>
      </w:pPr>
      <w:r>
        <w:rPr>
          <w:sz w:val="21"/>
        </w:rPr>
        <w:t>A page per policy class — insurer, policy number, period, next renewal, limits, excesses, key inclusions and exclusions.</w:t>
      </w:r>
    </w:p>
    <w:p>
      <w:pPr>
        <w:pStyle w:val="ListBullet"/>
      </w:pPr>
      <w:r>
        <w:rPr>
          <w:sz w:val="21"/>
        </w:rPr>
        <w:t>Claims experience — insurer loss runs normalised per class, cross-added.</w:t>
      </w:r>
    </w:p>
    <w:p>
      <w:pPr>
        <w:pStyle w:val="ListBullet"/>
      </w:pPr>
      <w:r>
        <w:rPr>
          <w:sz w:val="21"/>
        </w:rPr>
        <w:t>Interested parties &amp; certificates — whether each noted interest is automatic under the policy or endorsement-only.</w:t>
      </w:r>
    </w:p>
    <w:p>
      <w:pPr>
        <w:pStyle w:val="ListBullet"/>
      </w:pPr>
      <w:r>
        <w:rPr>
          <w:sz w:val="21"/>
        </w:rPr>
        <w:t>Key uninsured risks — exposures a standard program will not answer, surfaced, never implied as covered.</w:t>
      </w:r>
    </w:p>
    <w:p>
      <w:pPr>
        <w:pStyle w:val="ListBullet"/>
      </w:pPr>
      <w:r>
        <w:rPr>
          <w:sz w:val="21"/>
        </w:rPr>
        <w:t>Pre-renewal schedule — a review date set at least three months before every renewal date.</w:t>
      </w:r>
    </w:p>
    <w:p>
      <w:r>
        <w:rPr>
          <w:b/>
          <w:color w:val="0C1A2E"/>
          <w:sz w:val="28"/>
        </w:rPr>
        <w:t>Defensible by design — the insurer's document wins, every time</w:t>
      </w:r>
    </w:p>
    <w:p>
      <w:pPr>
        <w:pStyle w:val="ListBullet"/>
      </w:pPr>
      <w:r>
        <w:rPr>
          <w:sz w:val="21"/>
        </w:rPr>
        <w:t>1. Insurer policy schedule — the binding statement of limits, excesses, premium and endorsements for the current period.</w:t>
      </w:r>
    </w:p>
    <w:p>
      <w:pPr>
        <w:pStyle w:val="ListBullet"/>
      </w:pPr>
      <w:r>
        <w:rPr>
          <w:sz w:val="21"/>
        </w:rPr>
        <w:t>2. PDS / policy wording — terms, conditions, exclusions and definitions.</w:t>
      </w:r>
    </w:p>
    <w:p>
      <w:pPr>
        <w:pStyle w:val="ListBullet"/>
      </w:pPr>
      <w:r>
        <w:rPr>
          <w:sz w:val="21"/>
        </w:rPr>
        <w:t>3. Endorsement schedules — amendments to the schedule, in the order issued.</w:t>
      </w:r>
    </w:p>
    <w:p>
      <w:pPr>
        <w:pStyle w:val="ListBullet"/>
      </w:pPr>
      <w:r>
        <w:rPr>
          <w:sz w:val="21"/>
        </w:rPr>
        <w:t>4. Prior manual — carried-forward context only; never overrides 1–3.</w:t>
      </w:r>
    </w:p>
    <w:p>
      <w:pPr>
        <w:pStyle w:val="ListBullet"/>
      </w:pPr>
      <w:r>
        <w:rPr>
          <w:sz w:val="21"/>
        </w:rPr>
        <w:t>5. Program spreadsheet — reconciliation and premium history.</w:t>
      </w:r>
    </w:p>
    <w:p>
      <w:r>
        <w:rPr>
          <w:i w:val="0"/>
          <w:color w:val="64748B"/>
          <w:sz w:val="19"/>
        </w:rPr>
        <w:t>A figure that cannot be sourced is marked for confirmation — never estimated, never carried forward without a source.</w:t>
      </w:r>
    </w:p>
    <w:p>
      <w:r>
        <w:rPr>
          <w:b/>
          <w:color w:val="0C1A2E"/>
          <w:sz w:val="28"/>
        </w:rPr>
        <w:t>One engine, four documents</w:t>
      </w:r>
    </w:p>
    <w:p>
      <w:pPr>
        <w:pStyle w:val="ListBullet"/>
      </w:pPr>
      <w:r>
        <w:rPr>
          <w:sz w:val="21"/>
        </w:rPr>
        <w:t>Pre-renewal report — ahead of the renewal conversation: what is coming up, what moved, what needs a decision.</w:t>
      </w:r>
    </w:p>
    <w:p>
      <w:pPr>
        <w:pStyle w:val="ListBullet"/>
      </w:pPr>
      <w:r>
        <w:rPr>
          <w:sz w:val="21"/>
        </w:rPr>
        <w:t>Renewal report — the full picture at renewal, reconciled against the prior year.</w:t>
      </w:r>
    </w:p>
    <w:p>
      <w:pPr>
        <w:pStyle w:val="ListBullet"/>
      </w:pPr>
      <w:r>
        <w:rPr>
          <w:sz w:val="21"/>
        </w:rPr>
        <w:t>Insurance manual — the standing reference the client keeps, updated as each policy renews across the year.</w:t>
      </w:r>
    </w:p>
    <w:p>
      <w:pPr>
        <w:pStyle w:val="ListBullet"/>
      </w:pPr>
      <w:r>
        <w:rPr>
          <w:sz w:val="21"/>
        </w:rPr>
        <w:t>New business proposal — options compared, with the basis of recommendation documented for compliance.</w:t>
      </w:r>
    </w:p>
    <w:p>
      <w:r>
        <w:rPr>
          <w:i w:val="0"/>
          <w:color w:val="64748B"/>
          <w:sz w:val="19"/>
        </w:rPr>
        <w:t>Same source data, same house style, same reconciliation — four different documents from the one build.</w:t>
      </w:r>
    </w:p>
    <w:p>
      <w:r>
        <w:rPr>
          <w:b/>
          <w:color w:val="0C1A2E"/>
          <w:sz w:val="28"/>
        </w:rPr>
        <w:t>Commercial availability</w:t>
      </w:r>
    </w:p>
    <w:tbl>
      <w:tblPr>
        <w:tblStyle w:val="LightGrid-Accent1"/>
        <w:tblW w:type="auto" w:w="0"/>
        <w:tblLook w:firstColumn="1" w:firstRow="1" w:lastColumn="0" w:lastRow="0" w:noHBand="0" w:noVBand="1" w:val="04A0"/>
      </w:tblPr>
      <w:tblGrid>
        <w:gridCol w:w="4320"/>
        <w:gridCol w:w="4320"/>
      </w:tblGrid>
      <w:tr>
        <w:tc>
          <w:tcPr>
            <w:tcW w:type="dxa" w:w="4320"/>
          </w:tcPr>
          <w:p>
            <w:r>
              <w:rPr>
                <w:b/>
              </w:rPr>
              <w:t>Territory</w:t>
            </w:r>
          </w:p>
        </w:tc>
        <w:tc>
          <w:tcPr>
            <w:tcW w:type="dxa" w:w="4320"/>
          </w:tcPr>
          <w:p>
            <w:r>
              <w:t>Australia only</w:t>
            </w:r>
          </w:p>
        </w:tc>
      </w:tr>
      <w:tr>
        <w:tc>
          <w:tcPr>
            <w:tcW w:type="dxa" w:w="4320"/>
          </w:tcPr>
          <w:p>
            <w:r>
              <w:rPr>
                <w:b/>
              </w:rPr>
              <w:t>Licence</w:t>
            </w:r>
          </w:p>
        </w:tc>
        <w:tc>
          <w:tcPr>
            <w:tcW w:type="dxa" w:w="4320"/>
          </w:tcPr>
          <w:p>
            <w:r>
              <w:t>Perpetual, version-pinned, single named user; supplied as-is</w:t>
            </w:r>
          </w:p>
        </w:tc>
      </w:tr>
      <w:tr>
        <w:tc>
          <w:tcPr>
            <w:tcW w:type="dxa" w:w="4320"/>
          </w:tcPr>
          <w:p>
            <w:r>
              <w:rPr>
                <w:b/>
              </w:rPr>
              <w:t>Included</w:t>
            </w:r>
          </w:p>
        </w:tc>
        <w:tc>
          <w:tcPr>
            <w:tcW w:type="dxa" w:w="4320"/>
          </w:tcPr>
          <w:p>
            <w:r>
              <w:t>Twelve months of point releases from the delivery date</w:t>
            </w:r>
          </w:p>
        </w:tc>
      </w:tr>
      <w:tr>
        <w:tc>
          <w:tcPr>
            <w:tcW w:type="dxa" w:w="4320"/>
          </w:tcPr>
          <w:p>
            <w:r>
              <w:rPr>
                <w:b/>
              </w:rPr>
              <w:t>Requirement</w:t>
            </w:r>
          </w:p>
        </w:tc>
        <w:tc>
          <w:tcPr>
            <w:tcW w:type="dxa" w:w="4320"/>
          </w:tcPr>
          <w:p>
            <w:r>
              <w:t>The licensee holds their own Claude subscription</w:t>
            </w:r>
          </w:p>
        </w:tc>
      </w:tr>
      <w:tr>
        <w:tc>
          <w:tcPr>
            <w:tcW w:type="dxa" w:w="4320"/>
          </w:tcPr>
          <w:p>
            <w:r>
              <w:rPr>
                <w:b/>
              </w:rPr>
              <w:t>Environment</w:t>
            </w:r>
          </w:p>
        </w:tc>
        <w:tc>
          <w:tcPr>
            <w:tcW w:type="dxa" w:w="4320"/>
          </w:tcPr>
          <w:p>
            <w:r>
              <w:t>Claude desktop app, Cowork mode</w:t>
            </w:r>
          </w:p>
        </w:tc>
      </w:tr>
      <w:tr>
        <w:tc>
          <w:tcPr>
            <w:tcW w:type="dxa" w:w="4320"/>
          </w:tcPr>
          <w:p>
            <w:r>
              <w:rPr>
                <w:b/>
              </w:rPr>
              <w:t>Boundary</w:t>
            </w:r>
          </w:p>
        </w:tc>
        <w:tc>
          <w:tcPr>
            <w:tcW w:type="dxa" w:w="4320"/>
          </w:tcPr>
          <w:p>
            <w:r>
              <w:t>General advice only — not legal advice, not personal financial advice</w:t>
            </w:r>
          </w:p>
        </w:tc>
      </w:tr>
    </w:tbl>
    <w:p>
      <w:r>
        <w:rPr>
          <w:i w:val="0"/>
          <w:color w:val="333333"/>
          <w:sz w:val="21"/>
        </w:rPr>
      </w:r>
    </w:p>
    <w:p>
      <w:pPr>
        <w:spacing w:before="80" w:after="80"/>
      </w:pPr>
      <w:r>
        <w:rPr>
          <w:color w:val="CCCCCC"/>
          <w:sz w:val="16"/>
        </w:rPr>
        <w:t>————————————————————————————————————————</w:t>
      </w:r>
    </w:p>
    <w:p>
      <w:r>
        <w:rPr>
          <w:b/>
          <w:color w:val="0C1A2E"/>
          <w:sz w:val="28"/>
        </w:rPr>
        <w:t>Source &amp; disclaimer</w:t>
      </w:r>
    </w:p>
    <w:p>
      <w:r>
        <w:rPr>
          <w:i/>
          <w:color w:val="64748B"/>
          <w:sz w:val="18"/>
        </w:rPr>
        <w:t>Source: Insurance Brokers Code Compliance Committee, 2025 Annual Data Report, released 17 June 2026 (414 broker submissions, calendar year 2025). Figures are cited as sector-wide trends, not the performance of any individual broker.</w:t>
      </w:r>
    </w:p>
    <w:p>
      <w:r>
        <w:rPr>
          <w:color w:val="64748B"/>
          <w:sz w:val="18"/>
        </w:rPr>
        <w:t>Supplied as-is under the AAIS End User Licence Agreement. Cover is defined by the insurer's policy schedule, PDS and wording, which prevail over any summary the software produces. AAIS outputs do not constitute financial product advice, legal advice, or financial advice within the meaning of the Corporations Act 2001 (Cth). All outputs are reviewed and approved by the broker before any client-facing use.</w:t>
      </w:r>
    </w:p>
    <w:p>
      <w:r>
        <w:rPr>
          <w:b/>
          <w:color w:val="0C1A2E"/>
          <w:sz w:val="28"/>
        </w:rPr>
        <w:t>Peter Beard</w:t>
      </w:r>
    </w:p>
    <w:p>
      <w:r>
        <w:rPr>
          <w:i w:val="0"/>
          <w:color w:val="64748B"/>
          <w:sz w:val="18"/>
        </w:rPr>
        <w:t>Admitted Solicitor of the Supreme Court of New South Wales · Fellow of ANZIIF (CIP) · Fellow of NIBA (QPIB) · Member, NIBA Risk Advisory Committee · Member, Australian Insurance Law Association · Certificate in Agentic AI, Johns Hopkins University, Whiting School of Engineering.</w:t>
      </w:r>
    </w:p>
    <w:p>
      <w:r>
        <w:rPr>
          <w:i w:val="0"/>
          <w:color w:val="333333"/>
          <w:sz w:val="21"/>
        </w:rPr>
      </w:r>
    </w:p>
    <w:p>
      <w:r>
        <w:rPr>
          <w:b/>
          <w:color w:val="0C1A2E"/>
          <w:sz w:val="20"/>
        </w:rPr>
        <w:t>Agentic AI Insurance Services (AAIS)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